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Pr="00681637" w:rsidRDefault="004D6CF8" w:rsidP="004D6CF8">
      <w:pPr>
        <w:pStyle w:val="t-9-8"/>
        <w:jc w:val="both"/>
      </w:pPr>
      <w:r w:rsidRPr="00681637">
        <w:t>Na temelju članka 8. stavka 3. Zakona o predmetima opće uporabe (»Narodne novine«, broj 39/13. i 47/14.) ministar zdravlja donosi</w:t>
      </w:r>
    </w:p>
    <w:p w:rsidR="004D6CF8" w:rsidRPr="00681637" w:rsidRDefault="004D6CF8" w:rsidP="004D6CF8">
      <w:pPr>
        <w:pStyle w:val="tb-na16"/>
        <w:spacing w:before="0" w:beforeAutospacing="0" w:after="0" w:afterAutospacing="0"/>
        <w:rPr>
          <w:sz w:val="24"/>
          <w:szCs w:val="24"/>
        </w:rPr>
      </w:pPr>
      <w:r w:rsidRPr="00681637">
        <w:rPr>
          <w:sz w:val="24"/>
          <w:szCs w:val="24"/>
        </w:rPr>
        <w:t xml:space="preserve">PRAVILNIK </w:t>
      </w:r>
      <w:r w:rsidR="00D070C4">
        <w:rPr>
          <w:sz w:val="24"/>
          <w:szCs w:val="24"/>
        </w:rPr>
        <w:t>O</w:t>
      </w:r>
    </w:p>
    <w:p w:rsidR="004D6CF8" w:rsidRPr="00681637" w:rsidRDefault="004D6CF8" w:rsidP="004D6CF8">
      <w:pPr>
        <w:pStyle w:val="tb-na16"/>
        <w:spacing w:before="0" w:beforeAutospacing="0" w:after="0" w:afterAutospacing="0"/>
        <w:rPr>
          <w:sz w:val="24"/>
          <w:szCs w:val="24"/>
        </w:rPr>
      </w:pPr>
      <w:r w:rsidRPr="00681637">
        <w:rPr>
          <w:sz w:val="24"/>
          <w:szCs w:val="24"/>
        </w:rPr>
        <w:t xml:space="preserve">IZMJENI I DOPUNAMA PRAVILNIKA  </w:t>
      </w:r>
    </w:p>
    <w:p w:rsidR="004D6CF8" w:rsidRPr="00681637" w:rsidRDefault="004D6CF8" w:rsidP="004D6CF8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681637">
        <w:rPr>
          <w:sz w:val="24"/>
          <w:szCs w:val="24"/>
        </w:rPr>
        <w:t>O SIGURNOSTI IGRAČAKA</w:t>
      </w:r>
    </w:p>
    <w:p w:rsidR="004D6CF8" w:rsidRPr="00681637" w:rsidRDefault="004D6CF8" w:rsidP="004D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F8" w:rsidRPr="001035D5" w:rsidRDefault="004D6CF8" w:rsidP="004D6C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035D5" w:rsidRPr="001035D5">
        <w:rPr>
          <w:rFonts w:ascii="Times New Roman" w:hAnsi="Times New Roman" w:cs="Times New Roman"/>
          <w:b/>
          <w:sz w:val="24"/>
          <w:szCs w:val="24"/>
        </w:rPr>
        <w:t>1</w:t>
      </w:r>
      <w:r w:rsidRPr="001035D5">
        <w:rPr>
          <w:rFonts w:ascii="Times New Roman" w:hAnsi="Times New Roman" w:cs="Times New Roman"/>
          <w:b/>
          <w:sz w:val="24"/>
          <w:szCs w:val="24"/>
        </w:rPr>
        <w:t>.</w:t>
      </w:r>
    </w:p>
    <w:p w:rsidR="004D6CF8" w:rsidRPr="00681637" w:rsidRDefault="004D6CF8" w:rsidP="004D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D5" w:rsidRDefault="004D6CF8" w:rsidP="0018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637">
        <w:rPr>
          <w:rFonts w:ascii="Times New Roman" w:hAnsi="Times New Roman" w:cs="Times New Roman"/>
          <w:sz w:val="24"/>
          <w:szCs w:val="24"/>
        </w:rPr>
        <w:t>U Pravilniku o sigurnosti igračaka („</w:t>
      </w:r>
      <w:r w:rsidR="001035D5">
        <w:rPr>
          <w:rFonts w:ascii="Times New Roman" w:hAnsi="Times New Roman" w:cs="Times New Roman"/>
          <w:sz w:val="24"/>
          <w:szCs w:val="24"/>
        </w:rPr>
        <w:t>N</w:t>
      </w:r>
      <w:r w:rsidRPr="00681637">
        <w:rPr>
          <w:rFonts w:ascii="Times New Roman" w:hAnsi="Times New Roman" w:cs="Times New Roman"/>
          <w:sz w:val="24"/>
          <w:szCs w:val="24"/>
        </w:rPr>
        <w:t>arodne novine“, broj 83/14)</w:t>
      </w:r>
      <w:r w:rsidR="001035D5">
        <w:rPr>
          <w:rFonts w:ascii="Times New Roman" w:hAnsi="Times New Roman" w:cs="Times New Roman"/>
          <w:sz w:val="24"/>
          <w:szCs w:val="24"/>
        </w:rPr>
        <w:t xml:space="preserve"> u članku 1. stavku 2. iza podstavka 2. dodaju se podstavci 3. do 5. koji glase:</w:t>
      </w:r>
    </w:p>
    <w:p w:rsidR="001035D5" w:rsidRDefault="001035D5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D5" w:rsidRPr="001035D5" w:rsidRDefault="001035D5" w:rsidP="001846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Direktiva Komisije 2014/79/EU </w:t>
      </w:r>
      <w:proofErr w:type="spellStart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оd</w:t>
      </w:r>
      <w:proofErr w:type="spellEnd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20. lipnja 2014. o izmjeni Dodatka C Prilogu II. Direktivi 2009/48/EZ Europskog parlamenta i Vijeća o sigurnosti igračaka u pogledu TCEP-a, TCPP-a i TDCP-a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(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Tekst značajan za EGP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)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(</w:t>
      </w:r>
      <w:r w:rsidRPr="001035D5">
        <w:rPr>
          <w:rFonts w:ascii="Times New Roman" w:hAnsi="Times New Roman" w:cs="Times New Roman"/>
          <w:iCs/>
          <w:sz w:val="24"/>
          <w:szCs w:val="24"/>
        </w:rPr>
        <w:t>SL L 182, 21.6.2014.),</w:t>
      </w:r>
    </w:p>
    <w:p w:rsidR="001035D5" w:rsidRPr="001035D5" w:rsidRDefault="001035D5" w:rsidP="001846A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5D5" w:rsidRPr="001035D5" w:rsidRDefault="001035D5" w:rsidP="001846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Direktiva Komisije 2014/81/EU </w:t>
      </w:r>
      <w:proofErr w:type="spellStart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оd</w:t>
      </w:r>
      <w:proofErr w:type="spellEnd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23. lipnja 2014. o izmjeni Dodatka C Prilogu II. Direktivi 2009/48/EZ Europskog parlamenta i Vijeća o sigurnosti igračaka u pogledu </w:t>
      </w:r>
      <w:proofErr w:type="spellStart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bisfenola</w:t>
      </w:r>
      <w:proofErr w:type="spellEnd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A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(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Tekst značajan za EGP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)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1035D5">
        <w:rPr>
          <w:rFonts w:ascii="Times New Roman" w:hAnsi="Times New Roman" w:cs="Times New Roman"/>
          <w:iCs/>
          <w:sz w:val="24"/>
          <w:szCs w:val="24"/>
        </w:rPr>
        <w:t>SL L 183, 24.6.2014.),</w:t>
      </w:r>
    </w:p>
    <w:p w:rsidR="001035D5" w:rsidRPr="001035D5" w:rsidRDefault="001035D5" w:rsidP="001846A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035D5" w:rsidRPr="001035D5" w:rsidRDefault="001035D5" w:rsidP="001846A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Direktiva Komisije 2014/84/EU </w:t>
      </w:r>
      <w:proofErr w:type="spellStart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оd</w:t>
      </w:r>
      <w:proofErr w:type="spellEnd"/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30. lipnja 2014. o izmjeni Dodatka A Prilogu II. Direktivi 2009/48/EZ Europskog parlamenta i Vijeća o sigurnosti igračaka koja se odnosi na nikal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(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>Tekst značajan za EGP</w:t>
      </w: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)</w:t>
      </w:r>
      <w:r w:rsidRPr="001035D5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(</w:t>
      </w:r>
      <w:r w:rsidRPr="001035D5">
        <w:rPr>
          <w:rFonts w:ascii="Times New Roman" w:hAnsi="Times New Roman" w:cs="Times New Roman"/>
          <w:iCs/>
          <w:sz w:val="24"/>
          <w:szCs w:val="24"/>
        </w:rPr>
        <w:t>SL L 192, 1.7.2014.)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1035D5" w:rsidRDefault="001035D5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D5" w:rsidRDefault="004D6CF8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5D5" w:rsidRPr="001035D5" w:rsidRDefault="001035D5" w:rsidP="0010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035D5" w:rsidRDefault="001035D5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F8" w:rsidRPr="00681637" w:rsidRDefault="001035D5" w:rsidP="0018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D6CF8" w:rsidRPr="00681637">
        <w:rPr>
          <w:rFonts w:ascii="Times New Roman" w:hAnsi="Times New Roman" w:cs="Times New Roman"/>
          <w:sz w:val="24"/>
          <w:szCs w:val="24"/>
        </w:rPr>
        <w:t xml:space="preserve"> Prilogu II, Dodatak A, tablica ispod naslova „POPIS TVARI TOKSIČNIH ZA REPRODUKCIJU I NJIHOVE DOPUŠTENE UPORABE SUKLADNO TOČKAMA 4., 5. I 6. DIJELA III. mijenja se i glasi:</w:t>
      </w:r>
    </w:p>
    <w:p w:rsidR="004D6CF8" w:rsidRPr="00681637" w:rsidRDefault="004D6CF8" w:rsidP="004D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00"/>
        <w:gridCol w:w="4662"/>
      </w:tblGrid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„Tvar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Razvrstavanje 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Dopuštena uporaba</w:t>
            </w:r>
          </w:p>
        </w:tc>
      </w:tr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Nikal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CMR 2 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D6CF8" w:rsidRPr="00681637" w:rsidRDefault="004D6CF8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 igračkama i dijelovima igračaka od nehrđajućeg čelika.</w:t>
            </w:r>
          </w:p>
          <w:p w:rsidR="004D6CF8" w:rsidRPr="00681637" w:rsidRDefault="004D6CF8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4D6CF8" w:rsidRPr="00681637" w:rsidRDefault="004D6CF8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U dijelovima igračaka koji su namijenjeni za provođenje električne struje.</w:t>
            </w:r>
            <w:r w:rsidR="00681637"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“</w:t>
            </w:r>
          </w:p>
        </w:tc>
      </w:tr>
    </w:tbl>
    <w:p w:rsidR="004D6CF8" w:rsidRPr="00681637" w:rsidRDefault="004D6CF8" w:rsidP="004D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37" w:rsidRPr="001035D5" w:rsidRDefault="00681637" w:rsidP="00681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81637" w:rsidRPr="00681637" w:rsidRDefault="00681637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637" w:rsidRPr="00681637" w:rsidRDefault="00681637" w:rsidP="001035D5">
      <w:pPr>
        <w:spacing w:after="0" w:line="240" w:lineRule="auto"/>
        <w:jc w:val="both"/>
        <w:rPr>
          <w:rStyle w:val="bold1"/>
          <w:rFonts w:ascii="Times New Roman" w:hAnsi="Times New Roman" w:cs="Times New Roman"/>
          <w:b w:val="0"/>
          <w:bCs w:val="0"/>
          <w:sz w:val="24"/>
          <w:szCs w:val="24"/>
        </w:rPr>
      </w:pPr>
      <w:r w:rsidRPr="00681637">
        <w:rPr>
          <w:rFonts w:ascii="Times New Roman" w:hAnsi="Times New Roman" w:cs="Times New Roman"/>
          <w:sz w:val="24"/>
          <w:szCs w:val="24"/>
        </w:rPr>
        <w:t>U Prilogu II, Dodatak C, ispod naslova „</w:t>
      </w:r>
      <w:r w:rsidRPr="00681637">
        <w:rPr>
          <w:rStyle w:val="bold1"/>
          <w:rFonts w:ascii="Times New Roman" w:hAnsi="Times New Roman" w:cs="Times New Roman"/>
          <w:b w:val="0"/>
          <w:bCs w:val="0"/>
          <w:sz w:val="24"/>
          <w:szCs w:val="24"/>
        </w:rPr>
        <w:t>Posebna granična ograničenja za kemikalije koje se koriste u igračkama namijenjenima djeci mlađoj od 36 mjeseci ili u drugim igračkama namijenjenima za stavljanje u usta, donesena sukladno članku 46. stavku 2. Direktive 2009/48/EZ, dodaje se tablica koja glasi:</w:t>
      </w:r>
    </w:p>
    <w:p w:rsidR="00681637" w:rsidRPr="00681637" w:rsidRDefault="00681637" w:rsidP="00681637">
      <w:pPr>
        <w:spacing w:after="0" w:line="240" w:lineRule="auto"/>
        <w:rPr>
          <w:rStyle w:val="bold1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00"/>
        <w:gridCol w:w="4662"/>
      </w:tblGrid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„Tvar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Cas</w:t>
            </w:r>
            <w:proofErr w:type="spellEnd"/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broj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Granična vrijednost</w:t>
            </w:r>
          </w:p>
        </w:tc>
      </w:tr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TCEP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115-96-8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mg/kg (granična vrijednost sadržaja)</w:t>
            </w:r>
          </w:p>
        </w:tc>
      </w:tr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TCPP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13674-84-5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mg/kg (granična vrijednost sadržaja)</w:t>
            </w:r>
          </w:p>
        </w:tc>
      </w:tr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68163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>TDCP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13674-87-8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 mg/kg (granična vrijednost sadržaja)</w:t>
            </w:r>
          </w:p>
        </w:tc>
      </w:tr>
      <w:tr w:rsidR="00681637" w:rsidRPr="00681637" w:rsidTr="007E6907">
        <w:tc>
          <w:tcPr>
            <w:tcW w:w="2148" w:type="dxa"/>
            <w:tcBorders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Bisfenol</w:t>
            </w:r>
            <w:proofErr w:type="spellEnd"/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A</w:t>
            </w:r>
          </w:p>
        </w:tc>
        <w:tc>
          <w:tcPr>
            <w:tcW w:w="2400" w:type="dxa"/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80-05-7</w:t>
            </w:r>
          </w:p>
        </w:tc>
        <w:tc>
          <w:tcPr>
            <w:tcW w:w="4662" w:type="dxa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1637" w:rsidRPr="00681637" w:rsidRDefault="00681637" w:rsidP="007E690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81637">
              <w:rPr>
                <w:rFonts w:ascii="Times New Roman" w:hAnsi="Times New Roman" w:cs="Times New Roman"/>
                <w:sz w:val="24"/>
                <w:szCs w:val="24"/>
              </w:rPr>
              <w:t>0,1 mg/l (granica migracije) u skladu s metodama utvrđenima u EN 71-10:2005 i EN 71-11:2005</w:t>
            </w:r>
            <w:r w:rsidR="001035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681637" w:rsidRDefault="00681637" w:rsidP="00681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D5" w:rsidRDefault="001035D5" w:rsidP="00103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5D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035D5" w:rsidRDefault="001035D5" w:rsidP="00103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604" w:rsidRDefault="00F23604" w:rsidP="00184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604">
        <w:rPr>
          <w:rFonts w:ascii="Times New Roman" w:hAnsi="Times New Roman" w:cs="Times New Roman"/>
          <w:sz w:val="24"/>
          <w:szCs w:val="24"/>
        </w:rPr>
        <w:t xml:space="preserve">Ovaj Pravilnik objavit će se u „Narodnim novinama“, a odredba članka 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3604">
        <w:rPr>
          <w:rFonts w:ascii="Times New Roman" w:hAnsi="Times New Roman" w:cs="Times New Roman"/>
          <w:sz w:val="24"/>
          <w:szCs w:val="24"/>
        </w:rPr>
        <w:t>tupa na snagu 1. srpnja 2015. godine, dok odredba članka 3. stupa na snagu 21. prosinca 2015. godine.</w:t>
      </w:r>
    </w:p>
    <w:p w:rsidR="00F23604" w:rsidRDefault="00F23604" w:rsidP="0010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04" w:rsidRPr="00F23604" w:rsidRDefault="00F23604" w:rsidP="00F236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MINISTAR</w:t>
      </w:r>
    </w:p>
    <w:p w:rsidR="001035D5" w:rsidRPr="00F23604" w:rsidRDefault="00F23604" w:rsidP="0010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6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35D5" w:rsidRPr="00F2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CFB"/>
    <w:multiLevelType w:val="hybridMultilevel"/>
    <w:tmpl w:val="0ADE65E8"/>
    <w:lvl w:ilvl="0" w:tplc="5F6AEB36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F8"/>
    <w:rsid w:val="001035D5"/>
    <w:rsid w:val="001846A9"/>
    <w:rsid w:val="004D6CF8"/>
    <w:rsid w:val="006158B1"/>
    <w:rsid w:val="00681637"/>
    <w:rsid w:val="00D070C4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4D6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4D6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4D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81637"/>
    <w:rPr>
      <w:b/>
      <w:bCs/>
    </w:rPr>
  </w:style>
  <w:style w:type="paragraph" w:styleId="Odlomakpopisa">
    <w:name w:val="List Paragraph"/>
    <w:basedOn w:val="Normal"/>
    <w:uiPriority w:val="34"/>
    <w:qFormat/>
    <w:rsid w:val="001035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035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4D6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4D6C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4D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681637"/>
    <w:rPr>
      <w:b/>
      <w:bCs/>
    </w:rPr>
  </w:style>
  <w:style w:type="paragraph" w:styleId="Odlomakpopisa">
    <w:name w:val="List Paragraph"/>
    <w:basedOn w:val="Normal"/>
    <w:uiPriority w:val="34"/>
    <w:qFormat/>
    <w:rsid w:val="001035D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035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07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C2F8-1E2D-4EA7-B5FA-CC69A151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 Bojan</dc:creator>
  <cp:lastModifiedBy>Golub Valerija</cp:lastModifiedBy>
  <cp:revision>5</cp:revision>
  <dcterms:created xsi:type="dcterms:W3CDTF">2014-10-17T09:35:00Z</dcterms:created>
  <dcterms:modified xsi:type="dcterms:W3CDTF">2015-01-07T09:07:00Z</dcterms:modified>
</cp:coreProperties>
</file>